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44"/>
        <w:gridCol w:w="1332"/>
        <w:gridCol w:w="731"/>
        <w:gridCol w:w="284"/>
        <w:gridCol w:w="1821"/>
        <w:gridCol w:w="2616"/>
        <w:gridCol w:w="78"/>
        <w:gridCol w:w="56"/>
      </w:tblGrid>
      <w:tr w:rsidR="00A63D0A" w:rsidRPr="00FF06B0" w:rsidTr="007103D4">
        <w:trPr>
          <w:trHeight w:val="188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FD1003">
            <w:pPr>
              <w:pStyle w:val="BasicParagraph"/>
              <w:rPr>
                <w:rFonts w:ascii="Gill Sans MT" w:eastAsia="Times New Roman" w:hAnsi="Gill Sans MT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930D8E">
            <w:pPr>
              <w:spacing w:after="0" w:line="240" w:lineRule="exact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930D8E">
            <w:pPr>
              <w:spacing w:after="0" w:line="240" w:lineRule="exact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A63D0A">
            <w:pPr>
              <w:spacing w:after="0" w:line="240" w:lineRule="exact"/>
              <w:ind w:left="57" w:right="57"/>
              <w:jc w:val="right"/>
              <w:rPr>
                <w:rFonts w:ascii="Gill Sans MT" w:eastAsia="Times New Roman" w:hAnsi="Gill Sans MT" w:cs="Times New Roman"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930D8E">
            <w:pPr>
              <w:spacing w:after="0" w:line="240" w:lineRule="exact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A63D0A" w:rsidRPr="00FF06B0" w:rsidTr="00EE1E23">
        <w:trPr>
          <w:trHeight w:val="10184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61" w:rsidRPr="00FF06B0" w:rsidRDefault="007103D4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>T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he Institute of Chartered Shipbrokers </w:t>
            </w:r>
            <w:r w:rsidR="00ED2661" w:rsidRPr="001F09A3">
              <w:rPr>
                <w:rFonts w:ascii="Gill Sans MT" w:hAnsi="Gill Sans MT"/>
                <w:sz w:val="24"/>
                <w:szCs w:val="24"/>
              </w:rPr>
              <w:t xml:space="preserve">Educational Trust Fund </w:t>
            </w:r>
            <w:r w:rsidRPr="001F09A3">
              <w:rPr>
                <w:rFonts w:ascii="Gill Sans MT" w:hAnsi="Gill Sans MT"/>
                <w:sz w:val="24"/>
                <w:szCs w:val="24"/>
              </w:rPr>
              <w:t>(ETF)</w:t>
            </w:r>
            <w:r w:rsidRPr="00FF06B0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1F09A3">
              <w:rPr>
                <w:rFonts w:ascii="Gill Sans MT" w:hAnsi="Gill Sans MT"/>
                <w:sz w:val="24"/>
                <w:szCs w:val="24"/>
              </w:rPr>
              <w:t>would like to award b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>ursarie</w:t>
            </w:r>
            <w:r w:rsidR="00EE43BF">
              <w:rPr>
                <w:rFonts w:ascii="Gill Sans MT" w:hAnsi="Gill Sans MT"/>
                <w:sz w:val="24"/>
                <w:szCs w:val="24"/>
              </w:rPr>
              <w:t>s t</w:t>
            </w:r>
            <w:r w:rsidR="007702E1">
              <w:rPr>
                <w:rFonts w:ascii="Gill Sans MT" w:hAnsi="Gill Sans MT"/>
                <w:sz w:val="24"/>
                <w:szCs w:val="24"/>
              </w:rPr>
              <w:t xml:space="preserve">o committed students who are able to demonstrate they require support to attend. The </w:t>
            </w:r>
            <w:r w:rsidR="001F09A3">
              <w:rPr>
                <w:rFonts w:ascii="Gill Sans MT" w:hAnsi="Gill Sans MT"/>
                <w:sz w:val="24"/>
                <w:szCs w:val="24"/>
              </w:rPr>
              <w:t>b</w:t>
            </w:r>
            <w:r w:rsidR="007702E1">
              <w:rPr>
                <w:rFonts w:ascii="Gill Sans MT" w:hAnsi="Gill Sans MT"/>
                <w:sz w:val="24"/>
                <w:szCs w:val="24"/>
              </w:rPr>
              <w:t xml:space="preserve">ursaries 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>include:</w:t>
            </w: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7103D4" w:rsidRPr="00FF06B0" w:rsidRDefault="00ED2661" w:rsidP="00ED2661">
            <w:pPr>
              <w:pStyle w:val="NoSpacing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 xml:space="preserve">A place at </w:t>
            </w:r>
            <w:r w:rsidR="007103D4" w:rsidRPr="00FF06B0">
              <w:rPr>
                <w:rFonts w:ascii="Gill Sans MT" w:hAnsi="Gill Sans MT"/>
                <w:b/>
                <w:sz w:val="24"/>
                <w:szCs w:val="24"/>
                <w:u w:val="single"/>
              </w:rPr>
              <w:t>ONE</w:t>
            </w:r>
            <w:r w:rsidR="007103D4" w:rsidRPr="00FF06B0">
              <w:rPr>
                <w:rFonts w:ascii="Gill Sans MT" w:hAnsi="Gill Sans MT"/>
                <w:sz w:val="24"/>
                <w:szCs w:val="24"/>
              </w:rPr>
              <w:t xml:space="preserve"> of t</w:t>
            </w:r>
            <w:r w:rsidRPr="00FF06B0">
              <w:rPr>
                <w:rFonts w:ascii="Gill Sans MT" w:hAnsi="Gill Sans MT"/>
                <w:sz w:val="24"/>
                <w:szCs w:val="24"/>
              </w:rPr>
              <w:t xml:space="preserve">he </w:t>
            </w:r>
            <w:r w:rsidR="001F09A3">
              <w:rPr>
                <w:rFonts w:ascii="Gill Sans MT" w:hAnsi="Gill Sans MT"/>
                <w:sz w:val="24"/>
                <w:szCs w:val="24"/>
              </w:rPr>
              <w:t>Institute’s</w:t>
            </w:r>
            <w:r w:rsidRPr="00FF06B0">
              <w:rPr>
                <w:rFonts w:ascii="Gill Sans MT" w:hAnsi="Gill Sans MT"/>
                <w:sz w:val="24"/>
                <w:szCs w:val="24"/>
              </w:rPr>
              <w:t xml:space="preserve"> PREP weekend</w:t>
            </w:r>
            <w:r w:rsidR="007103D4" w:rsidRPr="00FF06B0">
              <w:rPr>
                <w:rFonts w:ascii="Gill Sans MT" w:hAnsi="Gill Sans MT"/>
                <w:sz w:val="24"/>
                <w:szCs w:val="24"/>
              </w:rPr>
              <w:t>s, as follows:</w:t>
            </w:r>
          </w:p>
          <w:p w:rsidR="007103D4" w:rsidRPr="00FF06B0" w:rsidRDefault="007103D4" w:rsidP="007103D4">
            <w:pPr>
              <w:pStyle w:val="NoSpacing"/>
              <w:ind w:left="720"/>
              <w:rPr>
                <w:rFonts w:ascii="Gill Sans MT" w:hAnsi="Gill Sans MT"/>
                <w:sz w:val="24"/>
                <w:szCs w:val="24"/>
              </w:rPr>
            </w:pPr>
          </w:p>
          <w:p w:rsidR="007103D4" w:rsidRPr="00FF06B0" w:rsidRDefault="002D32A1" w:rsidP="007103D4">
            <w:pPr>
              <w:pStyle w:val="NoSpacing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>Autumn PREP</w:t>
            </w:r>
            <w:r w:rsidR="001F09A3">
              <w:rPr>
                <w:rFonts w:ascii="Gill Sans MT" w:hAnsi="Gill Sans MT"/>
                <w:sz w:val="24"/>
                <w:szCs w:val="24"/>
              </w:rPr>
              <w:t xml:space="preserve"> 201</w:t>
            </w:r>
            <w:r w:rsidR="0061243A">
              <w:rPr>
                <w:rFonts w:ascii="Gill Sans MT" w:hAnsi="Gill Sans MT"/>
                <w:sz w:val="24"/>
                <w:szCs w:val="24"/>
              </w:rPr>
              <w:t>7</w:t>
            </w:r>
            <w:r w:rsidR="007103D4" w:rsidRPr="00FF06B0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1F09A3" w:rsidRPr="001F09A3">
              <w:rPr>
                <w:rFonts w:ascii="Gill Sans MT" w:hAnsi="Gill Sans MT"/>
                <w:sz w:val="24"/>
                <w:szCs w:val="24"/>
              </w:rPr>
              <w:t>–</w:t>
            </w:r>
            <w:r w:rsidR="001F09A3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  <w:r w:rsidR="001F09A3" w:rsidRPr="001A00DC">
              <w:rPr>
                <w:rFonts w:ascii="Gill Sans MT" w:hAnsi="Gill Sans MT"/>
                <w:sz w:val="24"/>
                <w:szCs w:val="24"/>
                <w:lang w:val="en-US"/>
              </w:rPr>
              <w:t>Devonport</w:t>
            </w:r>
            <w:r w:rsidR="001F09A3" w:rsidRPr="001A00DC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House, King William Walk, SE10 9JW</w:t>
            </w:r>
            <w:r w:rsidR="000E26DC">
              <w:rPr>
                <w:rFonts w:ascii="Gill Sans MT" w:hAnsi="Gill Sans MT"/>
                <w:sz w:val="24"/>
                <w:szCs w:val="24"/>
                <w:lang w:val="en-US"/>
              </w:rPr>
              <w:t>, London, UK</w:t>
            </w:r>
            <w:r w:rsidR="001F09A3" w:rsidRPr="001A00DC">
              <w:rPr>
                <w:rFonts w:ascii="Gill Sans MT" w:hAnsi="Gill Sans MT"/>
                <w:sz w:val="24"/>
                <w:szCs w:val="24"/>
                <w:lang w:val="en-US"/>
              </w:rPr>
              <w:t xml:space="preserve">                 </w:t>
            </w:r>
            <w:r w:rsidR="001A00DC" w:rsidRPr="001A00DC">
              <w:rPr>
                <w:rFonts w:ascii="Gill Sans MT" w:hAnsi="Gill Sans MT"/>
                <w:sz w:val="24"/>
                <w:szCs w:val="24"/>
                <w:lang w:val="en-US"/>
              </w:rPr>
              <w:t>Saturday</w:t>
            </w:r>
            <w:r w:rsidR="000E26DC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  <w:r w:rsidR="001A00DC" w:rsidRPr="001A00DC">
              <w:rPr>
                <w:rFonts w:ascii="Gill Sans MT" w:hAnsi="Gill Sans MT"/>
                <w:sz w:val="24"/>
                <w:szCs w:val="24"/>
                <w:lang w:val="en-US"/>
              </w:rPr>
              <w:t>7</w:t>
            </w:r>
            <w:r w:rsidR="001F09A3" w:rsidRPr="001A00DC">
              <w:rPr>
                <w:rFonts w:ascii="Gill Sans MT" w:hAnsi="Gill Sans MT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1A00DC" w:rsidRPr="001A00DC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to Sunday 8</w:t>
            </w:r>
            <w:r w:rsidR="001F09A3" w:rsidRPr="001A00DC">
              <w:rPr>
                <w:rFonts w:ascii="Gill Sans MT" w:hAnsi="Gill Sans MT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702E1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October 2017</w:t>
            </w:r>
          </w:p>
          <w:p w:rsidR="007103D4" w:rsidRPr="00FF06B0" w:rsidRDefault="002D32A1" w:rsidP="007103D4">
            <w:pPr>
              <w:pStyle w:val="NoSpacing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>Spring PREP</w:t>
            </w:r>
            <w:r w:rsidR="001F09A3">
              <w:rPr>
                <w:rFonts w:ascii="Gill Sans MT" w:hAnsi="Gill Sans MT"/>
                <w:sz w:val="24"/>
                <w:szCs w:val="24"/>
              </w:rPr>
              <w:t xml:space="preserve"> 201</w:t>
            </w:r>
            <w:r w:rsidR="0061243A">
              <w:rPr>
                <w:rFonts w:ascii="Gill Sans MT" w:hAnsi="Gill Sans MT"/>
                <w:sz w:val="24"/>
                <w:szCs w:val="24"/>
              </w:rPr>
              <w:t>8</w:t>
            </w:r>
            <w:r w:rsidR="007103D4" w:rsidRPr="00FF06B0"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ED2661" w:rsidRPr="001A00DC">
              <w:rPr>
                <w:rFonts w:ascii="Gill Sans MT" w:hAnsi="Gill Sans MT"/>
                <w:sz w:val="24"/>
                <w:szCs w:val="24"/>
              </w:rPr>
              <w:t>Warwick Univer</w:t>
            </w:r>
            <w:r w:rsidR="000E26DC">
              <w:rPr>
                <w:rFonts w:ascii="Gill Sans MT" w:hAnsi="Gill Sans MT"/>
                <w:sz w:val="24"/>
                <w:szCs w:val="24"/>
              </w:rPr>
              <w:t>sity in Coventry, UK</w:t>
            </w:r>
            <w:r w:rsidR="00ED2661" w:rsidRPr="001A00D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1A00DC" w:rsidRPr="001A00DC">
              <w:rPr>
                <w:rFonts w:ascii="Gill Sans MT" w:hAnsi="Gill Sans MT"/>
                <w:sz w:val="24"/>
                <w:szCs w:val="24"/>
              </w:rPr>
              <w:t>5</w:t>
            </w:r>
            <w:r w:rsidR="00A61848" w:rsidRPr="001A00DC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54585A" w:rsidRPr="001A00D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ED2661" w:rsidRPr="001A00DC">
              <w:rPr>
                <w:rFonts w:ascii="Gill Sans MT" w:hAnsi="Gill Sans MT"/>
                <w:sz w:val="24"/>
                <w:szCs w:val="24"/>
              </w:rPr>
              <w:t xml:space="preserve">- </w:t>
            </w:r>
            <w:r w:rsidR="001A00DC" w:rsidRPr="001A00DC">
              <w:rPr>
                <w:rFonts w:ascii="Gill Sans MT" w:hAnsi="Gill Sans MT"/>
                <w:sz w:val="24"/>
                <w:szCs w:val="24"/>
              </w:rPr>
              <w:t>8</w:t>
            </w:r>
            <w:r w:rsidR="00ED2661" w:rsidRPr="001A00DC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ED2661" w:rsidRPr="001A00D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A61848" w:rsidRPr="001A00DC">
              <w:rPr>
                <w:rFonts w:ascii="Gill Sans MT" w:hAnsi="Gill Sans MT"/>
                <w:sz w:val="24"/>
                <w:szCs w:val="24"/>
              </w:rPr>
              <w:t>April</w:t>
            </w:r>
            <w:r w:rsidR="00ED2661" w:rsidRPr="001A00DC">
              <w:rPr>
                <w:rFonts w:ascii="Gill Sans MT" w:hAnsi="Gill Sans MT"/>
                <w:sz w:val="24"/>
                <w:szCs w:val="24"/>
              </w:rPr>
              <w:t xml:space="preserve"> 201</w:t>
            </w:r>
            <w:r w:rsidR="00EE43BF">
              <w:rPr>
                <w:rFonts w:ascii="Gill Sans MT" w:hAnsi="Gill Sans MT"/>
                <w:sz w:val="24"/>
                <w:szCs w:val="24"/>
              </w:rPr>
              <w:t>8</w:t>
            </w:r>
            <w:r w:rsidR="007103D4" w:rsidRPr="00FF06B0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ED2661" w:rsidRPr="00FF06B0" w:rsidRDefault="007103D4" w:rsidP="007103D4">
            <w:pPr>
              <w:pStyle w:val="NoSpacing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>Both events include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 all accommodation, meals and </w:t>
            </w:r>
            <w:r w:rsidRPr="00FF06B0">
              <w:rPr>
                <w:rFonts w:ascii="Gill Sans MT" w:hAnsi="Gill Sans MT"/>
                <w:sz w:val="24"/>
                <w:szCs w:val="24"/>
              </w:rPr>
              <w:t>lectures throughout the weekend</w:t>
            </w:r>
            <w:r w:rsidR="007702E1">
              <w:rPr>
                <w:rFonts w:ascii="Gill Sans MT" w:hAnsi="Gill Sans MT"/>
                <w:sz w:val="24"/>
                <w:szCs w:val="24"/>
              </w:rPr>
              <w:t xml:space="preserve">, unless </w:t>
            </w:r>
            <w:r w:rsidR="002D32A1" w:rsidRPr="00FF06B0">
              <w:rPr>
                <w:rFonts w:ascii="Gill Sans MT" w:hAnsi="Gill Sans MT"/>
                <w:sz w:val="24"/>
                <w:szCs w:val="24"/>
              </w:rPr>
              <w:t>otherwise specified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54585A" w:rsidRPr="00FF06B0" w:rsidRDefault="0054585A" w:rsidP="0054585A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ED2661" w:rsidP="00ED2661">
            <w:pPr>
              <w:pStyle w:val="NoSpacing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>A contribution towards travel costs to and from the event.</w:t>
            </w: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1F09A3" w:rsidP="000E26DC">
            <w:pPr>
              <w:pStyle w:val="NoSpacing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 b</w:t>
            </w:r>
            <w:r w:rsidR="00ED2661" w:rsidRPr="00FF06B0">
              <w:rPr>
                <w:rFonts w:ascii="Gill Sans MT" w:hAnsi="Gill Sans MT"/>
                <w:b/>
                <w:sz w:val="24"/>
                <w:szCs w:val="24"/>
              </w:rPr>
              <w:t xml:space="preserve">ursary will only be considered for students registered and entered to take the </w:t>
            </w:r>
            <w:r>
              <w:rPr>
                <w:rFonts w:ascii="Gill Sans MT" w:hAnsi="Gill Sans MT"/>
                <w:b/>
                <w:sz w:val="24"/>
                <w:szCs w:val="24"/>
              </w:rPr>
              <w:t>Institute’s</w:t>
            </w:r>
            <w:r w:rsidR="00ED2661" w:rsidRPr="00FF06B0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examinations in 201</w:t>
            </w:r>
            <w:r w:rsidR="0061243A">
              <w:rPr>
                <w:rFonts w:ascii="Gill Sans MT" w:hAnsi="Gill Sans MT"/>
                <w:b/>
                <w:sz w:val="24"/>
                <w:szCs w:val="24"/>
              </w:rPr>
              <w:t>7-2018</w:t>
            </w:r>
            <w:r w:rsidR="007702E1">
              <w:rPr>
                <w:rFonts w:ascii="Gill Sans MT" w:hAnsi="Gill Sans MT"/>
                <w:b/>
                <w:sz w:val="24"/>
                <w:szCs w:val="24"/>
              </w:rPr>
              <w:t xml:space="preserve">, who do not have </w:t>
            </w:r>
            <w:r w:rsidR="00ED2661" w:rsidRPr="00FF06B0">
              <w:rPr>
                <w:rFonts w:ascii="Gill Sans MT" w:hAnsi="Gill Sans MT"/>
                <w:b/>
                <w:sz w:val="24"/>
                <w:szCs w:val="24"/>
              </w:rPr>
              <w:t>the necessary means to attend PREP themselves.</w:t>
            </w:r>
          </w:p>
          <w:p w:rsidR="00ED2661" w:rsidRPr="00FF06B0" w:rsidRDefault="00ED2661" w:rsidP="00EE1E23">
            <w:pPr>
              <w:pStyle w:val="NoSpacing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ED2661" w:rsidRPr="00FF06B0" w:rsidRDefault="001F09A3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 apply for this b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>ursary, a written application of no more than 500 words must be sent to the Institute</w:t>
            </w:r>
            <w:r>
              <w:rPr>
                <w:rFonts w:ascii="Gill Sans MT" w:hAnsi="Gill Sans MT"/>
                <w:sz w:val="24"/>
                <w:szCs w:val="24"/>
              </w:rPr>
              <w:t>’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s </w:t>
            </w:r>
            <w:r w:rsidR="00C4667C" w:rsidRPr="001F09A3">
              <w:rPr>
                <w:rFonts w:ascii="Gill Sans MT" w:hAnsi="Gill Sans MT"/>
                <w:sz w:val="24"/>
                <w:szCs w:val="24"/>
              </w:rPr>
              <w:t>Educational Trust Fund</w:t>
            </w:r>
            <w:r w:rsidR="000E26DC">
              <w:rPr>
                <w:rFonts w:ascii="Gill Sans MT" w:hAnsi="Gill Sans MT"/>
                <w:sz w:val="24"/>
                <w:szCs w:val="24"/>
              </w:rPr>
              <w:t xml:space="preserve"> (ETF) </w:t>
            </w:r>
            <w:r w:rsidR="00C4667C" w:rsidRPr="00FF06B0">
              <w:rPr>
                <w:rFonts w:ascii="Gill Sans MT" w:hAnsi="Gill Sans MT"/>
                <w:sz w:val="24"/>
                <w:szCs w:val="24"/>
              </w:rPr>
              <w:t xml:space="preserve">c/o </w:t>
            </w:r>
            <w:hyperlink r:id="rId8" w:history="1">
              <w:r w:rsidR="00116733" w:rsidRPr="005D6BFA">
                <w:rPr>
                  <w:rStyle w:val="Hyperlink"/>
                  <w:rFonts w:ascii="Gill Sans MT" w:hAnsi="Gill Sans MT"/>
                  <w:sz w:val="24"/>
                  <w:szCs w:val="24"/>
                </w:rPr>
                <w:t>e.fund@ics.org.uk</w:t>
              </w:r>
            </w:hyperlink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.  </w:t>
            </w: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7702E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Your application should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 include:</w:t>
            </w: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7702E1" w:rsidP="00ED2661">
            <w:pPr>
              <w:pStyle w:val="NoSpacing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Reasons why you are unable to attend without support</w:t>
            </w:r>
          </w:p>
          <w:p w:rsidR="00ED2661" w:rsidRPr="00FF06B0" w:rsidRDefault="007702E1" w:rsidP="00ED2661">
            <w:pPr>
              <w:pStyle w:val="NoSpacing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Your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 commitment to study for the Institute’s Professional Qualifying Examinations (PQEs)</w:t>
            </w:r>
          </w:p>
          <w:p w:rsidR="00ED2661" w:rsidRPr="00FF06B0" w:rsidRDefault="007702E1" w:rsidP="00ED2661">
            <w:pPr>
              <w:pStyle w:val="NoSpacing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Your</w:t>
            </w:r>
            <w:r w:rsidR="00ED2661" w:rsidRPr="00FF06B0">
              <w:rPr>
                <w:rFonts w:ascii="Gill Sans MT" w:hAnsi="Gill Sans MT"/>
                <w:sz w:val="24"/>
                <w:szCs w:val="24"/>
              </w:rPr>
              <w:t xml:space="preserve"> commitment to professionalism within the commercial shipping industry</w:t>
            </w: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ED2661" w:rsidRPr="00FF06B0" w:rsidRDefault="00ED2661" w:rsidP="00ED2661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  <w:p w:rsidR="007103D4" w:rsidRPr="00EE1E23" w:rsidRDefault="00ED2661" w:rsidP="00EE1E2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FF06B0">
              <w:rPr>
                <w:rFonts w:ascii="Gill Sans MT" w:hAnsi="Gill Sans MT"/>
                <w:sz w:val="24"/>
                <w:szCs w:val="24"/>
              </w:rPr>
              <w:t xml:space="preserve">All applications will be reviewed by the Education and Training Committee on behalf of the Institute of Chartered Shipbrokers Educational Trust Fund. </w:t>
            </w:r>
            <w:r w:rsidRPr="001F09A3">
              <w:rPr>
                <w:rFonts w:ascii="Gill Sans MT" w:hAnsi="Gill Sans MT"/>
                <w:sz w:val="24"/>
                <w:szCs w:val="24"/>
              </w:rPr>
              <w:t>The decision of the trustees as to the successful applicant(s) will be final.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0A" w:rsidRPr="00FF06B0" w:rsidRDefault="00A63D0A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  <w:p w:rsidR="007103D4" w:rsidRPr="00FF06B0" w:rsidRDefault="007103D4" w:rsidP="00A63D0A">
            <w:pPr>
              <w:spacing w:after="24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D1003" w:rsidRPr="00FF06B0" w:rsidTr="009F3828">
        <w:tblPrEx>
          <w:jc w:val="center"/>
        </w:tblPrEx>
        <w:trPr>
          <w:gridAfter w:val="1"/>
          <w:wAfter w:w="56" w:type="dxa"/>
          <w:trHeight w:val="794"/>
          <w:jc w:val="center"/>
        </w:trPr>
        <w:tc>
          <w:tcPr>
            <w:tcW w:w="5476" w:type="dxa"/>
            <w:gridSpan w:val="2"/>
            <w:shd w:val="clear" w:color="auto" w:fill="D9D9D9"/>
            <w:noWrap/>
            <w:hideMark/>
          </w:tcPr>
          <w:p w:rsidR="007103D4" w:rsidRPr="00FF06B0" w:rsidRDefault="007103D4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  <w:t>The Institute of Chartered Shipbrokers</w:t>
            </w:r>
          </w:p>
          <w:p w:rsidR="00FD1003" w:rsidRPr="00FF06B0" w:rsidRDefault="00FD1003" w:rsidP="009F3828">
            <w:pPr>
              <w:spacing w:after="0" w:line="240" w:lineRule="auto"/>
              <w:ind w:left="57" w:right="57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36" w:type="dxa"/>
            <w:gridSpan w:val="3"/>
            <w:shd w:val="clear" w:color="auto" w:fill="D9D9D9"/>
          </w:tcPr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85 Gracechurch Street</w:t>
            </w: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London EC3V OAA</w:t>
            </w: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United Kingdom</w:t>
            </w:r>
          </w:p>
        </w:tc>
        <w:tc>
          <w:tcPr>
            <w:tcW w:w="2694" w:type="dxa"/>
            <w:gridSpan w:val="2"/>
            <w:shd w:val="clear" w:color="auto" w:fill="D9D9D9"/>
          </w:tcPr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t. +44 (0) 20 7623 1111</w:t>
            </w: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f. +44 (0) 20 7623 8118</w:t>
            </w:r>
          </w:p>
          <w:p w:rsidR="00FD1003" w:rsidRPr="00FF06B0" w:rsidRDefault="00FD1003" w:rsidP="00442D64">
            <w:pPr>
              <w:spacing w:after="0" w:line="240" w:lineRule="auto"/>
              <w:ind w:left="57" w:right="57"/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</w:pPr>
            <w:r w:rsidRPr="00FF06B0">
              <w:rPr>
                <w:rFonts w:ascii="Gill Sans MT" w:eastAsia="Times New Roman" w:hAnsi="Gill Sans MT" w:cs="Times New Roman"/>
                <w:color w:val="000000"/>
                <w:sz w:val="18"/>
                <w:szCs w:val="18"/>
                <w:lang w:bidi="ta-IN"/>
              </w:rPr>
              <w:t>enquiries@ics.org.uk</w:t>
            </w:r>
          </w:p>
        </w:tc>
      </w:tr>
    </w:tbl>
    <w:p w:rsidR="006C385F" w:rsidRPr="00FF06B0" w:rsidRDefault="006C385F" w:rsidP="00171CC6">
      <w:pPr>
        <w:rPr>
          <w:rFonts w:ascii="Gill Sans MT" w:hAnsi="Gill Sans MT"/>
          <w:sz w:val="18"/>
          <w:szCs w:val="18"/>
        </w:rPr>
      </w:pPr>
    </w:p>
    <w:sectPr w:rsidR="006C385F" w:rsidRPr="00FF06B0" w:rsidSect="005A3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680" w:bottom="284" w:left="680" w:header="51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11" w:rsidRDefault="00DF5811" w:rsidP="00B46612">
      <w:pPr>
        <w:spacing w:after="0" w:line="240" w:lineRule="auto"/>
      </w:pPr>
      <w:r>
        <w:separator/>
      </w:r>
    </w:p>
  </w:endnote>
  <w:endnote w:type="continuationSeparator" w:id="1">
    <w:p w:rsidR="00DF5811" w:rsidRDefault="00DF5811" w:rsidP="00B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82" w:rsidRDefault="006E2D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48" w:rsidRDefault="004A0619">
    <w:pPr>
      <w:pStyle w:val="Footer"/>
      <w:jc w:val="center"/>
    </w:pPr>
    <w:r w:rsidRPr="004A0619">
      <w:rPr>
        <w:rFonts w:eastAsia="Times New Roman" w:cs="Times New Roman"/>
        <w:noProof/>
        <w:color w:val="000000"/>
        <w:lang w:eastAsia="zh-TW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0.9pt;margin-top:-1.3pt;width:105.85pt;height:17.2pt;z-index:251657728;mso-width-relative:margin;mso-height-relative:margin">
          <v:textbox style="mso-next-textbox:#_x0000_s2049">
            <w:txbxContent>
              <w:p w:rsidR="00A61848" w:rsidRPr="002247D7" w:rsidRDefault="00116733" w:rsidP="002247D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ICS/ETF-PBA</w:t>
                </w:r>
                <w:r w:rsidR="0061243A"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/2017-18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82" w:rsidRDefault="006E2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11" w:rsidRDefault="00DF5811" w:rsidP="00B46612">
      <w:pPr>
        <w:spacing w:after="0" w:line="240" w:lineRule="auto"/>
      </w:pPr>
      <w:r>
        <w:separator/>
      </w:r>
    </w:p>
  </w:footnote>
  <w:footnote w:type="continuationSeparator" w:id="1">
    <w:p w:rsidR="00DF5811" w:rsidRDefault="00DF5811" w:rsidP="00B4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82" w:rsidRDefault="006E2D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828"/>
      <w:gridCol w:w="7237"/>
    </w:tblGrid>
    <w:tr w:rsidR="000E26DC" w:rsidTr="00AE51F0">
      <w:trPr>
        <w:trHeight w:val="1555"/>
      </w:trPr>
      <w:tc>
        <w:tcPr>
          <w:tcW w:w="3828" w:type="dxa"/>
        </w:tcPr>
        <w:p w:rsidR="000E26DC" w:rsidRDefault="000E26DC" w:rsidP="00AE51F0">
          <w:pPr>
            <w:tabs>
              <w:tab w:val="left" w:pos="6732"/>
              <w:tab w:val="left" w:pos="7686"/>
            </w:tabs>
            <w:spacing w:after="0"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GB" w:eastAsia="en-GB"/>
            </w:rPr>
            <w:drawing>
              <wp:inline distT="0" distB="0" distL="0" distR="0">
                <wp:extent cx="1974850" cy="965200"/>
                <wp:effectExtent l="19050" t="0" r="6350" b="0"/>
                <wp:docPr id="15" name="Picture 1" descr="ICS NEW Logo 2015 cmyk MASTER 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S NEW Logo 2015 cmyk MASTER 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 w:cs="Gill Sans MT"/>
              <w:caps/>
              <w:sz w:val="27"/>
              <w:szCs w:val="27"/>
            </w:rPr>
            <w:t xml:space="preserve"> </w:t>
          </w:r>
        </w:p>
      </w:tc>
      <w:tc>
        <w:tcPr>
          <w:tcW w:w="7237" w:type="dxa"/>
        </w:tcPr>
        <w:p w:rsidR="000E26DC" w:rsidRDefault="000E26DC" w:rsidP="00AE51F0">
          <w:pPr>
            <w:tabs>
              <w:tab w:val="left" w:pos="6732"/>
              <w:tab w:val="left" w:pos="7686"/>
            </w:tabs>
            <w:spacing w:after="0" w:line="240" w:lineRule="auto"/>
            <w:jc w:val="center"/>
            <w:rPr>
              <w:rFonts w:ascii="Gill Sans MT" w:hAnsi="Gill Sans MT" w:cs="Gill Sans MT"/>
              <w:caps/>
              <w:sz w:val="27"/>
              <w:szCs w:val="27"/>
            </w:rPr>
          </w:pPr>
        </w:p>
        <w:p w:rsidR="000E26DC" w:rsidRDefault="006E2D82" w:rsidP="00AE51F0">
          <w:pPr>
            <w:tabs>
              <w:tab w:val="left" w:pos="6732"/>
              <w:tab w:val="left" w:pos="7686"/>
            </w:tabs>
            <w:spacing w:after="0" w:line="240" w:lineRule="auto"/>
            <w:rPr>
              <w:rFonts w:ascii="Gill Sans MT" w:hAnsi="Gill Sans MT" w:cs="Gill Sans MT"/>
              <w:caps/>
              <w:sz w:val="40"/>
              <w:szCs w:val="40"/>
            </w:rPr>
          </w:pPr>
          <w:r>
            <w:rPr>
              <w:rFonts w:ascii="Gill Sans MT" w:hAnsi="Gill Sans MT" w:cs="Gill Sans MT"/>
              <w:caps/>
              <w:sz w:val="40"/>
              <w:szCs w:val="40"/>
            </w:rPr>
            <w:t>PREP BURSARY AWARD</w:t>
          </w:r>
        </w:p>
        <w:p w:rsidR="006E2D82" w:rsidRPr="006E2D82" w:rsidRDefault="006E2D82" w:rsidP="00AE51F0">
          <w:pPr>
            <w:tabs>
              <w:tab w:val="left" w:pos="6732"/>
              <w:tab w:val="left" w:pos="7686"/>
            </w:tabs>
            <w:spacing w:after="0" w:line="240" w:lineRule="auto"/>
            <w:rPr>
              <w:sz w:val="40"/>
              <w:szCs w:val="40"/>
            </w:rPr>
          </w:pPr>
          <w:r w:rsidRPr="006E2D82">
            <w:rPr>
              <w:rFonts w:ascii="Gill Sans MT" w:hAnsi="Gill Sans MT" w:cs="Gill Sans MT"/>
              <w:caps/>
              <w:sz w:val="40"/>
              <w:szCs w:val="40"/>
            </w:rPr>
            <w:t>Academic Year 2017/18</w:t>
          </w:r>
        </w:p>
      </w:tc>
    </w:tr>
  </w:tbl>
  <w:p w:rsidR="000E26DC" w:rsidRPr="000E26DC" w:rsidRDefault="000E26DC" w:rsidP="000E26DC">
    <w:pPr>
      <w:tabs>
        <w:tab w:val="left" w:pos="6105"/>
      </w:tabs>
      <w:spacing w:after="0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82" w:rsidRDefault="006E2D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06E"/>
    <w:multiLevelType w:val="hybridMultilevel"/>
    <w:tmpl w:val="446E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326"/>
    <w:multiLevelType w:val="hybridMultilevel"/>
    <w:tmpl w:val="0C0EC95E"/>
    <w:lvl w:ilvl="0" w:tplc="9946A9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26E5"/>
    <w:multiLevelType w:val="hybridMultilevel"/>
    <w:tmpl w:val="CC046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7C86"/>
    <w:multiLevelType w:val="hybridMultilevel"/>
    <w:tmpl w:val="0AEC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1B63"/>
    <w:rsid w:val="00000AC5"/>
    <w:rsid w:val="00004D4D"/>
    <w:rsid w:val="00016359"/>
    <w:rsid w:val="00020A84"/>
    <w:rsid w:val="0003671C"/>
    <w:rsid w:val="00041251"/>
    <w:rsid w:val="00041B63"/>
    <w:rsid w:val="0005662F"/>
    <w:rsid w:val="00076FAA"/>
    <w:rsid w:val="000B6DF5"/>
    <w:rsid w:val="000E0282"/>
    <w:rsid w:val="000E26DC"/>
    <w:rsid w:val="000E28B0"/>
    <w:rsid w:val="000E76C3"/>
    <w:rsid w:val="000E7864"/>
    <w:rsid w:val="000F388C"/>
    <w:rsid w:val="000F3BB3"/>
    <w:rsid w:val="001047F8"/>
    <w:rsid w:val="00116733"/>
    <w:rsid w:val="00150D99"/>
    <w:rsid w:val="001515F1"/>
    <w:rsid w:val="00165CFA"/>
    <w:rsid w:val="00171CC6"/>
    <w:rsid w:val="00176689"/>
    <w:rsid w:val="001779F2"/>
    <w:rsid w:val="001800C5"/>
    <w:rsid w:val="001A00DC"/>
    <w:rsid w:val="001A2FBA"/>
    <w:rsid w:val="001A61AB"/>
    <w:rsid w:val="001B0882"/>
    <w:rsid w:val="001B61AC"/>
    <w:rsid w:val="001C1C71"/>
    <w:rsid w:val="001F09A3"/>
    <w:rsid w:val="002023E6"/>
    <w:rsid w:val="00203230"/>
    <w:rsid w:val="002247D7"/>
    <w:rsid w:val="0023353C"/>
    <w:rsid w:val="00246646"/>
    <w:rsid w:val="0027471B"/>
    <w:rsid w:val="00287D31"/>
    <w:rsid w:val="00293B1C"/>
    <w:rsid w:val="002A490A"/>
    <w:rsid w:val="002B1D5B"/>
    <w:rsid w:val="002B2A3F"/>
    <w:rsid w:val="002D32A1"/>
    <w:rsid w:val="002E6837"/>
    <w:rsid w:val="002E71B2"/>
    <w:rsid w:val="002F7564"/>
    <w:rsid w:val="003128DF"/>
    <w:rsid w:val="003302AE"/>
    <w:rsid w:val="003321EC"/>
    <w:rsid w:val="00333A1E"/>
    <w:rsid w:val="003375D5"/>
    <w:rsid w:val="0034113E"/>
    <w:rsid w:val="00362B63"/>
    <w:rsid w:val="00391C40"/>
    <w:rsid w:val="00397AA9"/>
    <w:rsid w:val="003A5C97"/>
    <w:rsid w:val="003B4EDC"/>
    <w:rsid w:val="003C79BF"/>
    <w:rsid w:val="003E24D1"/>
    <w:rsid w:val="00414BFF"/>
    <w:rsid w:val="0042174D"/>
    <w:rsid w:val="00437746"/>
    <w:rsid w:val="00442D64"/>
    <w:rsid w:val="00442E38"/>
    <w:rsid w:val="00450B18"/>
    <w:rsid w:val="00454D78"/>
    <w:rsid w:val="00456322"/>
    <w:rsid w:val="0046245E"/>
    <w:rsid w:val="00462C9A"/>
    <w:rsid w:val="00467EE3"/>
    <w:rsid w:val="00490541"/>
    <w:rsid w:val="00491897"/>
    <w:rsid w:val="004A0619"/>
    <w:rsid w:val="004A3F57"/>
    <w:rsid w:val="004A62C2"/>
    <w:rsid w:val="004A7AC1"/>
    <w:rsid w:val="004C4C09"/>
    <w:rsid w:val="004E62B8"/>
    <w:rsid w:val="00527763"/>
    <w:rsid w:val="0054585A"/>
    <w:rsid w:val="0057154F"/>
    <w:rsid w:val="00591702"/>
    <w:rsid w:val="005A14CC"/>
    <w:rsid w:val="005A3BCD"/>
    <w:rsid w:val="005C42F7"/>
    <w:rsid w:val="005C57AC"/>
    <w:rsid w:val="005E6AD3"/>
    <w:rsid w:val="00600B96"/>
    <w:rsid w:val="00604C89"/>
    <w:rsid w:val="00605A4A"/>
    <w:rsid w:val="0061243A"/>
    <w:rsid w:val="00621616"/>
    <w:rsid w:val="00633BE1"/>
    <w:rsid w:val="00636C6E"/>
    <w:rsid w:val="00671825"/>
    <w:rsid w:val="0069568D"/>
    <w:rsid w:val="006C385F"/>
    <w:rsid w:val="006D31CE"/>
    <w:rsid w:val="006E2D82"/>
    <w:rsid w:val="006E3C19"/>
    <w:rsid w:val="006F0165"/>
    <w:rsid w:val="007103D4"/>
    <w:rsid w:val="00715DCF"/>
    <w:rsid w:val="00716C0F"/>
    <w:rsid w:val="00717CC1"/>
    <w:rsid w:val="00742821"/>
    <w:rsid w:val="00743C9D"/>
    <w:rsid w:val="007528F4"/>
    <w:rsid w:val="007702E1"/>
    <w:rsid w:val="007709D3"/>
    <w:rsid w:val="00774CE8"/>
    <w:rsid w:val="00796DA7"/>
    <w:rsid w:val="007B2A63"/>
    <w:rsid w:val="007C5AF6"/>
    <w:rsid w:val="007D6F73"/>
    <w:rsid w:val="007F05C8"/>
    <w:rsid w:val="00811B15"/>
    <w:rsid w:val="00814F07"/>
    <w:rsid w:val="00831100"/>
    <w:rsid w:val="008533F2"/>
    <w:rsid w:val="00855018"/>
    <w:rsid w:val="00893151"/>
    <w:rsid w:val="008A550E"/>
    <w:rsid w:val="008A6D96"/>
    <w:rsid w:val="008E2526"/>
    <w:rsid w:val="00925E3A"/>
    <w:rsid w:val="00930D8E"/>
    <w:rsid w:val="00976A02"/>
    <w:rsid w:val="00980BE4"/>
    <w:rsid w:val="009942B2"/>
    <w:rsid w:val="009978D1"/>
    <w:rsid w:val="009B5006"/>
    <w:rsid w:val="009F3828"/>
    <w:rsid w:val="00A37F30"/>
    <w:rsid w:val="00A4731D"/>
    <w:rsid w:val="00A47B37"/>
    <w:rsid w:val="00A52B78"/>
    <w:rsid w:val="00A61848"/>
    <w:rsid w:val="00A63D0A"/>
    <w:rsid w:val="00A92330"/>
    <w:rsid w:val="00A979C8"/>
    <w:rsid w:val="00AA2BFD"/>
    <w:rsid w:val="00AA6BC1"/>
    <w:rsid w:val="00AC12C4"/>
    <w:rsid w:val="00AD3793"/>
    <w:rsid w:val="00AD64BA"/>
    <w:rsid w:val="00AE5AC5"/>
    <w:rsid w:val="00AF5784"/>
    <w:rsid w:val="00B04BE2"/>
    <w:rsid w:val="00B23252"/>
    <w:rsid w:val="00B3207E"/>
    <w:rsid w:val="00B4052C"/>
    <w:rsid w:val="00B46612"/>
    <w:rsid w:val="00B56186"/>
    <w:rsid w:val="00B65373"/>
    <w:rsid w:val="00B931E2"/>
    <w:rsid w:val="00BA4C7A"/>
    <w:rsid w:val="00BC6481"/>
    <w:rsid w:val="00BC7873"/>
    <w:rsid w:val="00BD3162"/>
    <w:rsid w:val="00BF152D"/>
    <w:rsid w:val="00C30AA2"/>
    <w:rsid w:val="00C4667C"/>
    <w:rsid w:val="00C52CDC"/>
    <w:rsid w:val="00C757BB"/>
    <w:rsid w:val="00C940FE"/>
    <w:rsid w:val="00CA0985"/>
    <w:rsid w:val="00CB1BC4"/>
    <w:rsid w:val="00CD238E"/>
    <w:rsid w:val="00CD6489"/>
    <w:rsid w:val="00CE38B1"/>
    <w:rsid w:val="00CE3BD2"/>
    <w:rsid w:val="00CE7EF4"/>
    <w:rsid w:val="00CF01E8"/>
    <w:rsid w:val="00CF7534"/>
    <w:rsid w:val="00D00AA5"/>
    <w:rsid w:val="00D05D1C"/>
    <w:rsid w:val="00D25294"/>
    <w:rsid w:val="00D36AE0"/>
    <w:rsid w:val="00D671DF"/>
    <w:rsid w:val="00D74E95"/>
    <w:rsid w:val="00DB0E9A"/>
    <w:rsid w:val="00DC75C3"/>
    <w:rsid w:val="00DE6252"/>
    <w:rsid w:val="00DF5811"/>
    <w:rsid w:val="00E01FA4"/>
    <w:rsid w:val="00E073F1"/>
    <w:rsid w:val="00E10ADA"/>
    <w:rsid w:val="00E15C3A"/>
    <w:rsid w:val="00E4041F"/>
    <w:rsid w:val="00E75FCD"/>
    <w:rsid w:val="00E87B49"/>
    <w:rsid w:val="00EA42F6"/>
    <w:rsid w:val="00EA5993"/>
    <w:rsid w:val="00EB1DFA"/>
    <w:rsid w:val="00ED2661"/>
    <w:rsid w:val="00ED5CE5"/>
    <w:rsid w:val="00EE1E23"/>
    <w:rsid w:val="00EE43BF"/>
    <w:rsid w:val="00EF4FCC"/>
    <w:rsid w:val="00F412BF"/>
    <w:rsid w:val="00F93B74"/>
    <w:rsid w:val="00F940F7"/>
    <w:rsid w:val="00F96751"/>
    <w:rsid w:val="00F97D52"/>
    <w:rsid w:val="00FB2BBD"/>
    <w:rsid w:val="00FD1003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FC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2"/>
  </w:style>
  <w:style w:type="paragraph" w:styleId="Footer">
    <w:name w:val="footer"/>
    <w:basedOn w:val="Normal"/>
    <w:link w:val="Foot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612"/>
  </w:style>
  <w:style w:type="character" w:styleId="Hyperlink">
    <w:name w:val="Hyperlink"/>
    <w:basedOn w:val="DefaultParagraphFont"/>
    <w:uiPriority w:val="99"/>
    <w:unhideWhenUsed/>
    <w:rsid w:val="00362B63"/>
    <w:rPr>
      <w:color w:val="0000FF"/>
      <w:u w:val="single"/>
    </w:rPr>
  </w:style>
  <w:style w:type="table" w:styleId="TableGrid">
    <w:name w:val="Table Grid"/>
    <w:basedOn w:val="TableNormal"/>
    <w:uiPriority w:val="59"/>
    <w:rsid w:val="003B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4377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2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F4FC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EF4FCC"/>
  </w:style>
  <w:style w:type="character" w:styleId="Strong">
    <w:name w:val="Strong"/>
    <w:basedOn w:val="DefaultParagraphFont"/>
    <w:uiPriority w:val="22"/>
    <w:qFormat/>
    <w:rsid w:val="00EF4FCC"/>
    <w:rPr>
      <w:b/>
      <w:bCs/>
    </w:rPr>
  </w:style>
  <w:style w:type="paragraph" w:styleId="NoSpacing">
    <w:name w:val="No Spacing"/>
    <w:uiPriority w:val="1"/>
    <w:qFormat/>
    <w:rsid w:val="00ED2661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und@ics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6FA0-C368-459D-9E7F-C15FC798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mailto:enquiries@ics.org.uk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j.gilbert</cp:lastModifiedBy>
  <cp:revision>6</cp:revision>
  <cp:lastPrinted>2017-08-01T15:03:00Z</cp:lastPrinted>
  <dcterms:created xsi:type="dcterms:W3CDTF">2017-07-31T07:59:00Z</dcterms:created>
  <dcterms:modified xsi:type="dcterms:W3CDTF">2017-08-01T15:03:00Z</dcterms:modified>
</cp:coreProperties>
</file>